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C830" w14:textId="77777777" w:rsidR="00725BA3" w:rsidRPr="00725BA3" w:rsidRDefault="00725BA3" w:rsidP="00725BA3">
      <w:pPr>
        <w:spacing w:after="0"/>
        <w:rPr>
          <w:rFonts w:ascii="Arial" w:eastAsia="Calibri" w:hAnsi="Arial" w:cs="Arial"/>
          <w:b/>
          <w:bCs/>
          <w:sz w:val="23"/>
          <w:szCs w:val="23"/>
          <w:lang w:eastAsia="ru-RU"/>
        </w:rPr>
      </w:pPr>
      <w:r w:rsidRPr="00725BA3">
        <w:rPr>
          <w:rFonts w:ascii="Arial" w:eastAsia="Calibri" w:hAnsi="Arial" w:cs="Arial"/>
          <w:b/>
          <w:bCs/>
          <w:sz w:val="23"/>
          <w:szCs w:val="23"/>
          <w:lang w:eastAsia="ru-RU"/>
        </w:rPr>
        <w:t>ИНСТРУКЦИЯ ПО МЕДИЦИНСКОМУ ПРИМЕНЕНИЮ</w:t>
      </w:r>
    </w:p>
    <w:p w14:paraId="3BBDB2AD" w14:textId="54C33C32" w:rsidR="00725BA3" w:rsidRPr="00725BA3" w:rsidRDefault="00725BA3" w:rsidP="00725BA3">
      <w:pPr>
        <w:spacing w:after="0"/>
        <w:rPr>
          <w:rFonts w:ascii="Arial" w:eastAsia="Calibri" w:hAnsi="Arial" w:cs="Arial"/>
          <w:b/>
          <w:sz w:val="23"/>
          <w:szCs w:val="23"/>
          <w:lang w:eastAsia="ru-RU"/>
        </w:rPr>
      </w:pPr>
      <w:proofErr w:type="spellStart"/>
      <w:r w:rsidRPr="00725BA3">
        <w:rPr>
          <w:rFonts w:ascii="Arial" w:eastAsia="Calibri" w:hAnsi="Arial" w:cs="Arial"/>
          <w:b/>
          <w:bCs/>
          <w:sz w:val="23"/>
          <w:szCs w:val="23"/>
          <w:lang w:eastAsia="ru-RU"/>
        </w:rPr>
        <w:t>Медирен</w:t>
      </w:r>
      <w:proofErr w:type="spellEnd"/>
      <w:r w:rsidRPr="00725BA3">
        <w:rPr>
          <w:rFonts w:ascii="Arial" w:eastAsia="Calibri" w:hAnsi="Arial" w:cs="Arial"/>
          <w:b/>
          <w:bCs/>
          <w:sz w:val="23"/>
          <w:szCs w:val="23"/>
          <w:vertAlign w:val="superscript"/>
          <w:lang w:eastAsia="ru-RU"/>
        </w:rPr>
        <w:t>®</w:t>
      </w:r>
      <w:r w:rsidRPr="00725BA3">
        <w:rPr>
          <w:rFonts w:ascii="Arial" w:eastAsia="Calibri" w:hAnsi="Arial" w:cs="Arial"/>
          <w:b/>
          <w:bCs/>
          <w:sz w:val="23"/>
          <w:szCs w:val="23"/>
          <w:lang w:eastAsia="ru-RU"/>
        </w:rPr>
        <w:t xml:space="preserve"> </w:t>
      </w:r>
      <w:r>
        <w:rPr>
          <w:rFonts w:ascii="Arial" w:eastAsia="Calibri" w:hAnsi="Arial" w:cs="Arial"/>
          <w:b/>
          <w:bCs/>
          <w:sz w:val="23"/>
          <w:szCs w:val="23"/>
          <w:lang w:eastAsia="ru-RU"/>
        </w:rPr>
        <w:t>сироп 100мл</w:t>
      </w:r>
    </w:p>
    <w:p w14:paraId="06CBD667" w14:textId="77777777" w:rsidR="00725BA3" w:rsidRDefault="00725BA3" w:rsidP="00BB752E">
      <w:pPr>
        <w:spacing w:after="0"/>
        <w:rPr>
          <w:rFonts w:ascii="Arial" w:eastAsia="Calibri" w:hAnsi="Arial" w:cs="Arial"/>
          <w:b/>
          <w:sz w:val="23"/>
          <w:szCs w:val="23"/>
          <w:lang w:eastAsia="ru-RU"/>
        </w:rPr>
      </w:pPr>
    </w:p>
    <w:p w14:paraId="1DBBEB88" w14:textId="77777777" w:rsidR="00725BA3" w:rsidRDefault="00725BA3" w:rsidP="00BB752E">
      <w:pPr>
        <w:spacing w:after="0"/>
        <w:rPr>
          <w:rFonts w:ascii="Arial" w:eastAsia="Calibri" w:hAnsi="Arial" w:cs="Arial"/>
          <w:b/>
          <w:sz w:val="23"/>
          <w:szCs w:val="23"/>
          <w:lang w:eastAsia="ru-RU"/>
        </w:rPr>
      </w:pPr>
    </w:p>
    <w:p w14:paraId="5BCE42EE" w14:textId="195FAF11" w:rsidR="00BB752E" w:rsidRPr="00BE7197" w:rsidRDefault="00BB752E" w:rsidP="00BB752E">
      <w:pPr>
        <w:spacing w:after="0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35634F">
        <w:rPr>
          <w:rFonts w:ascii="Arial" w:eastAsia="Calibri" w:hAnsi="Arial" w:cs="Arial"/>
          <w:b/>
          <w:sz w:val="23"/>
          <w:szCs w:val="23"/>
          <w:lang w:eastAsia="ru-RU"/>
        </w:rPr>
        <w:t>Торговое название:</w:t>
      </w:r>
      <w:r w:rsidRPr="0035634F">
        <w:rPr>
          <w:rFonts w:ascii="Arial" w:eastAsia="Calibri" w:hAnsi="Arial" w:cs="Arial"/>
          <w:b/>
          <w:sz w:val="20"/>
          <w:szCs w:val="20"/>
          <w:lang w:eastAsia="ru-RU"/>
        </w:rPr>
        <w:t xml:space="preserve">   </w:t>
      </w:r>
      <w:proofErr w:type="spellStart"/>
      <w:r w:rsidRPr="00957C41">
        <w:rPr>
          <w:rFonts w:ascii="Arial" w:eastAsia="Calibri" w:hAnsi="Arial" w:cs="Arial"/>
          <w:b/>
          <w:bCs/>
          <w:sz w:val="24"/>
          <w:szCs w:val="24"/>
          <w:lang w:eastAsia="ru-RU"/>
        </w:rPr>
        <w:t>Медирен</w:t>
      </w:r>
      <w:proofErr w:type="spellEnd"/>
      <w:r w:rsidRPr="00957C41">
        <w:rPr>
          <w:rFonts w:ascii="Arial" w:eastAsia="Calibri" w:hAnsi="Arial" w:cs="Arial"/>
          <w:b/>
          <w:bCs/>
          <w:sz w:val="24"/>
          <w:szCs w:val="24"/>
          <w:vertAlign w:val="superscript"/>
          <w:lang w:eastAsia="ru-RU"/>
        </w:rPr>
        <w:t>®</w:t>
      </w:r>
      <w:r w:rsidRPr="00957C41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</w:p>
    <w:p w14:paraId="12EA7FF4" w14:textId="77777777" w:rsidR="00BB752E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</w:p>
    <w:p w14:paraId="06BCB1DF" w14:textId="57DDC807" w:rsidR="008049E4" w:rsidRPr="008049E4" w:rsidRDefault="008049E4" w:rsidP="008049E4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8049E4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 xml:space="preserve">Форма выпуска, упаковка и состав препарата </w:t>
      </w:r>
      <w:proofErr w:type="spellStart"/>
      <w:r w:rsidRPr="00957C41">
        <w:rPr>
          <w:rFonts w:ascii="Arial" w:eastAsia="Calibri" w:hAnsi="Arial" w:cs="Arial"/>
          <w:b/>
          <w:bCs/>
          <w:sz w:val="24"/>
          <w:szCs w:val="24"/>
          <w:lang w:eastAsia="ru-RU"/>
        </w:rPr>
        <w:t>Медирен</w:t>
      </w:r>
      <w:proofErr w:type="spellEnd"/>
      <w:r w:rsidRPr="00957C41">
        <w:rPr>
          <w:rFonts w:ascii="Arial" w:eastAsia="Calibri" w:hAnsi="Arial" w:cs="Arial"/>
          <w:b/>
          <w:bCs/>
          <w:sz w:val="24"/>
          <w:szCs w:val="24"/>
          <w:vertAlign w:val="superscript"/>
          <w:lang w:eastAsia="ru-RU"/>
        </w:rPr>
        <w:t>®</w:t>
      </w:r>
    </w:p>
    <w:p w14:paraId="100078FA" w14:textId="77777777" w:rsidR="008049E4" w:rsidRPr="008049E4" w:rsidRDefault="008049E4" w:rsidP="008049E4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2DD4CD" w14:textId="77777777" w:rsidR="008049E4" w:rsidRPr="008049E4" w:rsidRDefault="008049E4" w:rsidP="008049E4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8049E4">
        <w:rPr>
          <w:rFonts w:ascii="Arial" w:eastAsia="Times New Roman" w:hAnsi="Arial" w:cs="Arial"/>
          <w:b/>
          <w:bCs/>
          <w:i/>
          <w:iCs/>
          <w:color w:val="333333"/>
          <w:kern w:val="0"/>
          <w:sz w:val="20"/>
          <w:szCs w:val="20"/>
          <w:lang w:eastAsia="ru-RU"/>
          <w14:ligatures w14:val="none"/>
        </w:rPr>
        <w:t>Капли для приема внутрь</w:t>
      </w:r>
      <w:r w:rsidRPr="008049E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в виде прозрачной или слегка мутной жидкости желтовато-коричневого цвета, с характерным запахом; возможна опалесценция (помутнение) и образование небольшого осадка в процессе хранения.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1967"/>
      </w:tblGrid>
      <w:tr w:rsidR="008049E4" w:rsidRPr="008049E4" w14:paraId="6B25A909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49AF56" w14:textId="77777777" w:rsidR="008049E4" w:rsidRPr="000010A0" w:rsidRDefault="008049E4" w:rsidP="008049E4">
            <w:pPr>
              <w:spacing w:after="0"/>
              <w:rPr>
                <w:rFonts w:ascii="Arial" w:eastAsia="Times New Roman" w:hAnsi="Arial" w:cs="Arial"/>
                <w:color w:val="333333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D8619D" w14:textId="77777777" w:rsidR="008049E4" w:rsidRPr="000010A0" w:rsidRDefault="008049E4" w:rsidP="008049E4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10A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1 мл (соответствует 0.98 г)</w:t>
            </w:r>
          </w:p>
        </w:tc>
      </w:tr>
      <w:tr w:rsidR="008049E4" w:rsidRPr="008049E4" w14:paraId="5C4DDF0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D2B8C8" w14:textId="77777777" w:rsidR="008049E4" w:rsidRPr="000010A0" w:rsidRDefault="008049E4" w:rsidP="008049E4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жидкий экстракт (1:56) золототысячника травы (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Centaurii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herba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 : любистока лекарственного корней (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Levistici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officinalis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radices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 : розмарина обыкновенного листьев (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Rosmarini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officinalis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folia</w:t>
            </w:r>
            <w:proofErr w:type="spellEnd"/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) (1:1:1)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078389" w14:textId="77777777" w:rsidR="008049E4" w:rsidRPr="000010A0" w:rsidRDefault="008049E4" w:rsidP="008049E4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10A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976 мг</w:t>
            </w:r>
          </w:p>
        </w:tc>
      </w:tr>
    </w:tbl>
    <w:p w14:paraId="32731672" w14:textId="77777777" w:rsidR="008049E4" w:rsidRPr="008049E4" w:rsidRDefault="008049E4" w:rsidP="008049E4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8049E4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Экстрагенты:</w:t>
      </w:r>
      <w:r w:rsidRPr="008049E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этанол 59%, вода очищенная.</w:t>
      </w:r>
    </w:p>
    <w:p w14:paraId="0430DEA5" w14:textId="77777777" w:rsidR="008049E4" w:rsidRPr="008049E4" w:rsidRDefault="008049E4" w:rsidP="008049E4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8049E4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Содержание этанола:</w:t>
      </w:r>
      <w:r w:rsidRPr="008049E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16.0-19.5% (об/об).</w:t>
      </w:r>
    </w:p>
    <w:p w14:paraId="61DA2180" w14:textId="77777777" w:rsidR="008049E4" w:rsidRPr="008049E4" w:rsidRDefault="008049E4" w:rsidP="008049E4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8049E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100 мл - флаконы темного стекла (1) с дозирующим капельным устройством сверху - пачки картонные.</w:t>
      </w:r>
    </w:p>
    <w:p w14:paraId="0844293C" w14:textId="77777777" w:rsidR="008049E4" w:rsidRPr="008049E4" w:rsidRDefault="008049E4" w:rsidP="008049E4">
      <w:pPr>
        <w:spacing w:before="150" w:after="150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8049E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На флакон наклеивают самоклеящуюся этикетку.</w:t>
      </w:r>
    </w:p>
    <w:p w14:paraId="3CD71BA8" w14:textId="77777777" w:rsidR="00BB752E" w:rsidRDefault="00BB752E" w:rsidP="00BB752E">
      <w:pPr>
        <w:spacing w:after="0"/>
      </w:pPr>
      <w:r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Г</w:t>
      </w: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руппа:</w:t>
      </w:r>
      <w:r w:rsidRPr="00C70CE3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 </w:t>
      </w:r>
      <w:hyperlink r:id="rId5" w:history="1">
        <w:r w:rsidRPr="00957C41">
          <w:rPr>
            <w:rFonts w:ascii="Arial" w:eastAsia="Times New Roman" w:hAnsi="Arial" w:cs="Arial"/>
            <w:color w:val="ED7D31" w:themeColor="accent2"/>
            <w:kern w:val="0"/>
            <w:sz w:val="21"/>
            <w:szCs w:val="21"/>
            <w:lang w:eastAsia="ru-RU"/>
            <w14:ligatures w14:val="none"/>
          </w:rPr>
          <w:t>Фитопрепарат, применяемый при заболеваниях почек и мочевыводящих путей</w:t>
        </w:r>
      </w:hyperlink>
    </w:p>
    <w:p w14:paraId="473C657E" w14:textId="77777777" w:rsidR="007B50E5" w:rsidRPr="00957C41" w:rsidRDefault="007B50E5" w:rsidP="00BB752E">
      <w:pPr>
        <w:spacing w:after="0"/>
        <w:rPr>
          <w:rFonts w:ascii="Arial" w:eastAsia="Times New Roman" w:hAnsi="Arial" w:cs="Arial"/>
          <w:color w:val="ED7D31" w:themeColor="accent2"/>
          <w:kern w:val="0"/>
          <w:sz w:val="21"/>
          <w:szCs w:val="21"/>
          <w:lang w:eastAsia="ru-RU"/>
          <w14:ligatures w14:val="none"/>
        </w:rPr>
      </w:pPr>
    </w:p>
    <w:p w14:paraId="234CE2FC" w14:textId="3E7ED7CC" w:rsidR="00BB752E" w:rsidRPr="00957C41" w:rsidRDefault="00BB752E" w:rsidP="00BB752E">
      <w:pPr>
        <w:spacing w:after="0"/>
        <w:rPr>
          <w:color w:val="ED7D31" w:themeColor="accent2"/>
        </w:rPr>
      </w:pPr>
      <w:r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Т</w:t>
      </w: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ерапевтическая группа:</w:t>
      </w:r>
      <w:r w:rsidRPr="00C70CE3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 </w:t>
      </w:r>
      <w:hyperlink r:id="rId6" w:history="1">
        <w:r w:rsidRPr="00957C41">
          <w:rPr>
            <w:rFonts w:ascii="Arial" w:eastAsia="Times New Roman" w:hAnsi="Arial" w:cs="Arial"/>
            <w:color w:val="ED7D31" w:themeColor="accent2"/>
            <w:kern w:val="0"/>
            <w:sz w:val="21"/>
            <w:szCs w:val="21"/>
            <w:lang w:eastAsia="ru-RU"/>
            <w14:ligatures w14:val="none"/>
          </w:rPr>
          <w:t>Средства, применяемые в урологии; другие средства, применяемые в урологии</w:t>
        </w:r>
      </w:hyperlink>
      <w:r w:rsidR="00957C41" w:rsidRPr="00957C41">
        <w:rPr>
          <w:color w:val="ED7D31" w:themeColor="accent2"/>
        </w:rPr>
        <w:t>.</w:t>
      </w:r>
    </w:p>
    <w:p w14:paraId="70CB3360" w14:textId="77777777" w:rsidR="00957C41" w:rsidRPr="00C70CE3" w:rsidRDefault="00957C41" w:rsidP="00BB752E">
      <w:pPr>
        <w:spacing w:after="0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</w:p>
    <w:p w14:paraId="57ACA70D" w14:textId="77777777" w:rsidR="00BB752E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Д</w:t>
      </w: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ействие</w:t>
      </w:r>
    </w:p>
    <w:p w14:paraId="15917ED5" w14:textId="2D26B84D" w:rsidR="00BB752E" w:rsidRPr="00B52A41" w:rsidRDefault="00BB752E" w:rsidP="00BB752E">
      <w:pPr>
        <w:spacing w:before="30" w:after="45"/>
        <w:outlineLvl w:val="1"/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</w:pPr>
      <w:r w:rsidRPr="00B52A41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 xml:space="preserve">Механизм действия и свойства </w:t>
      </w:r>
      <w:proofErr w:type="spellStart"/>
      <w:r w:rsidRPr="00B52A41">
        <w:rPr>
          <w:rFonts w:ascii="Arial" w:eastAsia="Calibri" w:hAnsi="Arial" w:cs="Arial"/>
          <w:sz w:val="20"/>
          <w:szCs w:val="20"/>
          <w:lang w:eastAsia="ru-RU"/>
        </w:rPr>
        <w:t>Медирен</w:t>
      </w:r>
      <w:proofErr w:type="spellEnd"/>
      <w:r w:rsidRPr="00B52A41">
        <w:rPr>
          <w:rFonts w:ascii="Arial" w:eastAsia="Calibri" w:hAnsi="Arial" w:cs="Arial"/>
          <w:sz w:val="20"/>
          <w:szCs w:val="20"/>
          <w:vertAlign w:val="superscript"/>
          <w:lang w:eastAsia="ru-RU"/>
        </w:rPr>
        <w:t>®</w:t>
      </w:r>
      <w:r w:rsidRPr="00B52A41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="00594805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>сироп</w:t>
      </w:r>
      <w:r w:rsidRPr="00B52A41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>, соответствует</w:t>
      </w:r>
      <w:r w:rsidR="008D57E0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 xml:space="preserve"> совокупно указанным ,</w:t>
      </w:r>
      <w:r w:rsidRPr="00B52A41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 xml:space="preserve"> аналогичным действующим веществам, указанным информацией справочника </w:t>
      </w:r>
      <w:r w:rsidR="00363F6A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 xml:space="preserve"> лекарственных средств </w:t>
      </w:r>
      <w:r w:rsidRPr="00B52A41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>В</w:t>
      </w:r>
      <w:r w:rsidR="00363F6A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>идаль.</w:t>
      </w:r>
    </w:p>
    <w:p w14:paraId="09BB7472" w14:textId="77777777" w:rsidR="00BB752E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B52A41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Комбинированный препарат растительного происхождения, оказывает мочегонное, спазмолитическое, противовоспалительное, противомикробное действие. </w:t>
      </w:r>
    </w:p>
    <w:p w14:paraId="559170DE" w14:textId="77777777" w:rsidR="00957C41" w:rsidRPr="00C70CE3" w:rsidRDefault="00957C41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776EDC54" w14:textId="77777777" w:rsidR="00BB752E" w:rsidRDefault="00BB752E" w:rsidP="00BB752E">
      <w:pPr>
        <w:spacing w:before="30" w:after="45"/>
        <w:outlineLvl w:val="1"/>
        <w:rPr>
          <w:rFonts w:ascii="Arial" w:eastAsia="Times New Roman" w:hAnsi="Arial" w:cs="Arial"/>
          <w:color w:val="2E3F51"/>
          <w:kern w:val="0"/>
          <w:sz w:val="20"/>
          <w:szCs w:val="20"/>
          <w:vertAlign w:val="superscript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 xml:space="preserve">Показания препарата </w:t>
      </w:r>
      <w:proofErr w:type="spellStart"/>
      <w:r w:rsidRPr="008036A6">
        <w:rPr>
          <w:rFonts w:ascii="Arial" w:eastAsia="Times New Roman" w:hAnsi="Arial" w:cs="Arial"/>
          <w:b/>
          <w:bCs/>
          <w:color w:val="2E3F51"/>
          <w:kern w:val="0"/>
          <w:sz w:val="20"/>
          <w:szCs w:val="20"/>
          <w:lang w:eastAsia="ru-RU"/>
          <w14:ligatures w14:val="none"/>
        </w:rPr>
        <w:t>Медирен</w:t>
      </w:r>
      <w:proofErr w:type="spellEnd"/>
      <w:r w:rsidRPr="008036A6">
        <w:rPr>
          <w:rFonts w:ascii="Arial" w:eastAsia="Times New Roman" w:hAnsi="Arial" w:cs="Arial"/>
          <w:b/>
          <w:bCs/>
          <w:color w:val="2E3F51"/>
          <w:kern w:val="0"/>
          <w:sz w:val="20"/>
          <w:szCs w:val="20"/>
          <w:vertAlign w:val="superscript"/>
          <w:lang w:eastAsia="ru-RU"/>
          <w14:ligatures w14:val="none"/>
        </w:rPr>
        <w:t>®</w:t>
      </w:r>
    </w:p>
    <w:p w14:paraId="73077514" w14:textId="1040317F" w:rsidR="00BB752E" w:rsidRPr="00C70CE3" w:rsidRDefault="00007A46" w:rsidP="00BB752E">
      <w:pPr>
        <w:spacing w:before="30" w:after="45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>
        <w:rPr>
          <w:rFonts w:ascii="Arial" w:hAnsi="Arial" w:cs="Arial"/>
          <w:color w:val="333333"/>
          <w:sz w:val="20"/>
          <w:szCs w:val="20"/>
        </w:rPr>
        <w:t>Для применения у взрослых и детей в возрасте от 1 года до 18 лет в комплексной терапии:</w:t>
      </w:r>
    </w:p>
    <w:p w14:paraId="00237622" w14:textId="29A3CCA9" w:rsidR="00BB752E" w:rsidRPr="00C70CE3" w:rsidRDefault="00BB752E" w:rsidP="00BB752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острых и хронических инфекци</w:t>
      </w:r>
      <w:r w:rsidR="008D57E0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ях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мочевого пузыря (цистита);</w:t>
      </w:r>
    </w:p>
    <w:p w14:paraId="6B779F2F" w14:textId="77777777" w:rsidR="00BB752E" w:rsidRPr="00C70CE3" w:rsidRDefault="00BB752E" w:rsidP="00BB752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при инфекционном и неинфекционном хроническом воспалении почек (пиелонефрит, гломерулонефрит, интерстициальный нефрит);</w:t>
      </w:r>
    </w:p>
    <w:p w14:paraId="6722CE0D" w14:textId="77777777" w:rsidR="00BB752E" w:rsidRPr="00C70CE3" w:rsidRDefault="00BB752E" w:rsidP="00BB752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в качестве средства, препятствующего образованию мочевых камней (также после удаления мочевых камней).</w:t>
      </w:r>
    </w:p>
    <w:p w14:paraId="57AC21F8" w14:textId="77777777" w:rsidR="006926EB" w:rsidRPr="006926EB" w:rsidRDefault="006926EB" w:rsidP="006926EB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6926EB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Режим дозирования</w:t>
      </w:r>
    </w:p>
    <w:p w14:paraId="01A01A90" w14:textId="77777777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Рекомендуется принимать 3 раза/день (утром, днем и вечером) в соответствии с приведенной ниже таблицей.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8"/>
        <w:gridCol w:w="1718"/>
        <w:gridCol w:w="1932"/>
      </w:tblGrid>
      <w:tr w:rsidR="006926EB" w:rsidRPr="006926EB" w14:paraId="2E527F0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27B643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83222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Разовая доза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F8293A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Суточная доза</w:t>
            </w:r>
          </w:p>
        </w:tc>
      </w:tr>
      <w:tr w:rsidR="006926EB" w:rsidRPr="006926EB" w14:paraId="21325B76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E0B532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lastRenderedPageBreak/>
              <w:t>Дети в возрасте 1-5 лет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3FDBB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15 капель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79BC1C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45 капель</w:t>
            </w:r>
          </w:p>
        </w:tc>
      </w:tr>
      <w:tr w:rsidR="006926EB" w:rsidRPr="006926EB" w14:paraId="769E111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EB76D1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Дети в возрасте 6-11 лет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39E534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25 капель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1AB4FD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75 капель</w:t>
            </w:r>
          </w:p>
        </w:tc>
      </w:tr>
      <w:tr w:rsidR="006926EB" w:rsidRPr="006926EB" w14:paraId="1FB2F103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03A97B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Подростки в возрасте 12 лет и старше, взрослые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8997A6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50 капель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8B651E" w14:textId="77777777" w:rsidR="006926EB" w:rsidRPr="00F22DCB" w:rsidRDefault="006926EB" w:rsidP="006926EB">
            <w:pPr>
              <w:spacing w:before="75" w:after="75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22DC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150 капель</w:t>
            </w:r>
          </w:p>
        </w:tc>
      </w:tr>
    </w:tbl>
    <w:p w14:paraId="2ED4D403" w14:textId="77777777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50 капель соответствуют 3.3 мл препарата.</w:t>
      </w:r>
    </w:p>
    <w:p w14:paraId="35D63B5A" w14:textId="471ECCE1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Длительность курса лечения зависит от течения заболевания. После наступления улучшения (завершения острой фазы заболевания) следует продолжить лечение препаратом в течение 2-4 недель. Увеличение продолжительности и проведение повторных курсов лечения возмож</w:t>
      </w:r>
      <w:r w:rsidR="008D57E0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ен</w:t>
      </w: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по рекомендации врача.</w:t>
      </w:r>
    </w:p>
    <w:p w14:paraId="76AFB160" w14:textId="77777777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ru-RU"/>
          <w14:ligatures w14:val="none"/>
        </w:rPr>
        <w:t>Дети</w:t>
      </w:r>
    </w:p>
    <w:p w14:paraId="4D34AD3B" w14:textId="77777777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Безопасность и эффективность у </w:t>
      </w:r>
      <w:r w:rsidRPr="006926EB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ru-RU"/>
          <w14:ligatures w14:val="none"/>
        </w:rPr>
        <w:t>детей в возрасте от 0 до 1 года</w:t>
      </w: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на настоящий момент не установлены. Данные отсутствуют.</w:t>
      </w:r>
    </w:p>
    <w:p w14:paraId="78E685EC" w14:textId="77777777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Способ применения</w:t>
      </w:r>
    </w:p>
    <w:p w14:paraId="3EACB89A" w14:textId="6DB618D0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Препарат </w:t>
      </w:r>
      <w:proofErr w:type="spellStart"/>
      <w:r w:rsidR="00181667" w:rsidRPr="00181667">
        <w:rPr>
          <w:rFonts w:ascii="Arial" w:eastAsia="Calibri" w:hAnsi="Arial" w:cs="Arial"/>
          <w:sz w:val="20"/>
          <w:szCs w:val="20"/>
          <w:lang w:eastAsia="ru-RU"/>
        </w:rPr>
        <w:t>Медирен</w:t>
      </w:r>
      <w:proofErr w:type="spellEnd"/>
      <w:r w:rsidR="00181667" w:rsidRPr="00181667">
        <w:rPr>
          <w:rFonts w:ascii="Arial" w:eastAsia="Calibri" w:hAnsi="Arial" w:cs="Arial"/>
          <w:sz w:val="20"/>
          <w:szCs w:val="20"/>
          <w:vertAlign w:val="superscript"/>
          <w:lang w:eastAsia="ru-RU"/>
        </w:rPr>
        <w:t>®</w:t>
      </w: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 принимают внутрь, независимо от приема пищи.</w:t>
      </w:r>
    </w:p>
    <w:p w14:paraId="0332CE2E" w14:textId="77777777" w:rsidR="006926EB" w:rsidRP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eastAsia="ru-RU"/>
          <w14:ligatures w14:val="none"/>
        </w:rPr>
        <w:t>Перед применением взбалтывать</w:t>
      </w: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4F1C7335" w14:textId="77777777" w:rsidR="006926EB" w:rsidRDefault="006926EB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926E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Необходимую дозу отмеряют при помощи флакона с дозирующим капельным устройством. Флакон следует держать вертикально при дозировании препарата. При необходимости (например, чтобы смягчить горький вкус для детей) препарат можно запить небольшим количеством воды (например, 1 стакан). Во время лечения препаратом рекомендуется достаточное потребление жидкости.</w:t>
      </w:r>
    </w:p>
    <w:p w14:paraId="5F88F172" w14:textId="77777777" w:rsidR="00957C41" w:rsidRPr="006926EB" w:rsidRDefault="00957C41" w:rsidP="006926EB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0B480B85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Побочное действие</w:t>
      </w:r>
    </w:p>
    <w:p w14:paraId="65EEA7D5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Со стороны ЖКТ: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часто - тошнота, рвота, диарея.</w:t>
      </w:r>
    </w:p>
    <w:p w14:paraId="0FA99144" w14:textId="77777777" w:rsidR="00BB752E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Со стороны иммунной системы: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частота неизвестна - аллергические реакции. При появлении первых признаков аллергической реакции следует прекратить прием препарата и обратиться к врачу; при появлении побочных эффектов, указанных в инструкции, или их усугублении, или появлении любых других побочных эффектов, не указанных в инструкции, необходимо обратиться к врачу.</w:t>
      </w:r>
    </w:p>
    <w:p w14:paraId="1BA20717" w14:textId="77777777" w:rsidR="00957C41" w:rsidRPr="00C70CE3" w:rsidRDefault="00957C41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77368CFB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Противопоказания к применению</w:t>
      </w:r>
    </w:p>
    <w:p w14:paraId="02CB6AA1" w14:textId="77777777" w:rsidR="00BB752E" w:rsidRPr="00C70CE3" w:rsidRDefault="00BB752E" w:rsidP="00BB752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повышенная чувствительность к активным веществам препарата, к другим растениям семейства зонтичные (например, анис, фенхель), анетолу (компонент эфирных масел), и/или к любому из вспомогательных веществ, входящих в состав препарата;</w:t>
      </w:r>
    </w:p>
    <w:p w14:paraId="50C65643" w14:textId="77777777" w:rsidR="00BB752E" w:rsidRPr="00C70CE3" w:rsidRDefault="00BB752E" w:rsidP="00BB752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заболевания желудочно-кишечного тракта в фазе обострения (в т.ч. гастрит, язвенная болезнь желудка).</w:t>
      </w:r>
    </w:p>
    <w:p w14:paraId="63E835E3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Применение при беременности и кормлении грудью</w:t>
      </w:r>
    </w:p>
    <w:p w14:paraId="5E68255F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Беременность</w:t>
      </w:r>
    </w:p>
    <w:p w14:paraId="5C6E9A88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Применение препарата во время беременности возможно только по назначению врача, в случае если предполагаемая польза для матери превышает потенциальный риск для плода и ребенка.</w:t>
      </w:r>
    </w:p>
    <w:p w14:paraId="1A2B3843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Период грудного вскармливания</w:t>
      </w:r>
    </w:p>
    <w:p w14:paraId="071A288D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Применение препарата в период грудного вскармливания возможно только по назначению врача, в случае если предполагаемая польза для матери превышает потенциальный риск для ребенка.</w:t>
      </w:r>
    </w:p>
    <w:p w14:paraId="11926445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Фертильность</w:t>
      </w:r>
    </w:p>
    <w:p w14:paraId="381D63A3" w14:textId="77777777" w:rsidR="00BB752E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Данные о влиянии препарата </w:t>
      </w:r>
      <w:proofErr w:type="spellStart"/>
      <w:r w:rsidRPr="00553984">
        <w:rPr>
          <w:rFonts w:ascii="Arial" w:eastAsia="Times New Roman" w:hAnsi="Arial" w:cs="Arial"/>
          <w:color w:val="2E3F51"/>
          <w:kern w:val="0"/>
          <w:sz w:val="20"/>
          <w:szCs w:val="20"/>
          <w:lang w:eastAsia="ru-RU"/>
          <w14:ligatures w14:val="none"/>
        </w:rPr>
        <w:t>Медирен</w:t>
      </w:r>
      <w:proofErr w:type="spellEnd"/>
      <w:r w:rsidRPr="00553984">
        <w:rPr>
          <w:rFonts w:ascii="Arial" w:eastAsia="Times New Roman" w:hAnsi="Arial" w:cs="Arial"/>
          <w:color w:val="2E3F51"/>
          <w:kern w:val="0"/>
          <w:sz w:val="20"/>
          <w:szCs w:val="20"/>
          <w:vertAlign w:val="superscript"/>
          <w:lang w:eastAsia="ru-RU"/>
          <w14:ligatures w14:val="none"/>
        </w:rPr>
        <w:t>®</w:t>
      </w:r>
      <w:r>
        <w:rPr>
          <w:rFonts w:ascii="Arial" w:eastAsia="Times New Roman" w:hAnsi="Arial" w:cs="Arial"/>
          <w:color w:val="2E3F51"/>
          <w:kern w:val="0"/>
          <w:sz w:val="20"/>
          <w:szCs w:val="20"/>
          <w:vertAlign w:val="superscript"/>
          <w:lang w:eastAsia="ru-RU"/>
          <w14:ligatures w14:val="none"/>
        </w:rPr>
        <w:t xml:space="preserve"> 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на фертильность у людей отсутствуют.</w:t>
      </w:r>
    </w:p>
    <w:p w14:paraId="55526868" w14:textId="77777777" w:rsidR="00957C41" w:rsidRPr="00C70CE3" w:rsidRDefault="00957C41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58097EE4" w14:textId="77777777" w:rsidR="002F318F" w:rsidRPr="002F318F" w:rsidRDefault="002F318F" w:rsidP="002F318F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2F318F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Применение у детей</w:t>
      </w:r>
    </w:p>
    <w:p w14:paraId="7F55CC3D" w14:textId="77777777" w:rsidR="002F318F" w:rsidRPr="002F318F" w:rsidRDefault="002F318F" w:rsidP="002F318F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2F318F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Противопоказано применение препарата в детском возрасте до 1 года.</w:t>
      </w:r>
    </w:p>
    <w:p w14:paraId="19893114" w14:textId="77777777" w:rsidR="002F318F" w:rsidRDefault="002F318F" w:rsidP="002F318F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2F318F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С осторожностью следует назначать препарат детям старше 1 года (применение возможно только после консультации с врачом) – в связи с содержанием этанола.</w:t>
      </w:r>
    </w:p>
    <w:p w14:paraId="391C1991" w14:textId="77777777" w:rsidR="00957C41" w:rsidRPr="002F318F" w:rsidRDefault="00957C41" w:rsidP="002F318F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3172FA1B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Особые указания</w:t>
      </w:r>
    </w:p>
    <w:p w14:paraId="32122DDE" w14:textId="77777777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Если симптомы заболевания сохраняются, ухудшаются, повторяются периодически или появляются новые симптомы, необходимо обратиться за консультацией к врачу. Необходимо проинформировать пациента, что в случае воспалительных заболеваний почек, появления лихорадки, спазмов, крови в моче, нарушения мочеиспускания, острой задержки мочи, болей при мочеиспускании необходимо обратиться к врачу.</w:t>
      </w:r>
    </w:p>
    <w:p w14:paraId="7E767037" w14:textId="77777777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При отеках, вызванных нарушениями функции сердца или почек, потребление большого количества жидкости противопоказано.</w:t>
      </w:r>
    </w:p>
    <w:p w14:paraId="20BBF4A1" w14:textId="77777777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процессе хранения возможна опалесценция и образование небольшого осадка, что не влияет на качество и эффективность препарата.</w:t>
      </w:r>
    </w:p>
    <w:p w14:paraId="65A487B2" w14:textId="77777777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Вспомогательные вещества</w:t>
      </w:r>
    </w:p>
    <w:p w14:paraId="73F6B53E" w14:textId="766E14FE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Препарат </w:t>
      </w:r>
      <w:proofErr w:type="spellStart"/>
      <w:r w:rsidR="00E75CB3" w:rsidRPr="00181667">
        <w:rPr>
          <w:rFonts w:ascii="Arial" w:eastAsia="Calibri" w:hAnsi="Arial" w:cs="Arial"/>
          <w:sz w:val="20"/>
          <w:szCs w:val="20"/>
        </w:rPr>
        <w:t>Медирен</w:t>
      </w:r>
      <w:proofErr w:type="spellEnd"/>
      <w:r w:rsidR="00E75CB3" w:rsidRPr="00181667">
        <w:rPr>
          <w:rFonts w:ascii="Arial" w:eastAsia="Calibri" w:hAnsi="Arial" w:cs="Arial"/>
          <w:sz w:val="20"/>
          <w:szCs w:val="20"/>
          <w:vertAlign w:val="superscript"/>
        </w:rPr>
        <w:t>®</w:t>
      </w:r>
      <w:r w:rsidR="00E75CB3" w:rsidRPr="006926EB"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содержит от 16.0 до 19.5% (в объемном отношении) этанола, т.е., до 500 мг на максимальную разовую дозу (50 капель), что соответствуют 13 мл пива или 5 мл вина и до 150 мг на минимальную разовую дозу (15 капель), что соответствуют 4 мл пива или 2 мл вина. Содержание этанола в максимальной суточной дозе (50 капель 3 раза в день) составляет 1.5 г.</w:t>
      </w:r>
    </w:p>
    <w:p w14:paraId="5A93F5D8" w14:textId="77777777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Вследствие наличия этанола не рекомендуется назначать препарат при алкоголизме, а также после лечения алкогольной зависимости. Содержание этанола в препарате следует принимать во внимание беременным или кормящим женщинам, детям и группам высокого риска, таким как пациенты с заболеваниями печени и эпилепсией, с заболеваниями и травмами головного мозга.</w:t>
      </w:r>
    </w:p>
    <w:p w14:paraId="794B5614" w14:textId="77777777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Влияние на способность к управлению транспортными средствами и механизмами</w:t>
      </w:r>
    </w:p>
    <w:p w14:paraId="5A322BB5" w14:textId="3A60CA8E" w:rsidR="007651C9" w:rsidRDefault="007651C9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При приеме в рекомендуемых дозах препарат </w:t>
      </w:r>
      <w:proofErr w:type="spellStart"/>
      <w:r w:rsidR="00E75CB3" w:rsidRPr="00181667">
        <w:rPr>
          <w:rFonts w:ascii="Arial" w:eastAsia="Calibri" w:hAnsi="Arial" w:cs="Arial"/>
          <w:sz w:val="20"/>
          <w:szCs w:val="20"/>
        </w:rPr>
        <w:t>Медирен</w:t>
      </w:r>
      <w:proofErr w:type="spellEnd"/>
      <w:r w:rsidR="00E75CB3" w:rsidRPr="00181667">
        <w:rPr>
          <w:rFonts w:ascii="Arial" w:eastAsia="Calibri" w:hAnsi="Arial" w:cs="Arial"/>
          <w:sz w:val="20"/>
          <w:szCs w:val="20"/>
          <w:vertAlign w:val="superscript"/>
        </w:rPr>
        <w:t>®</w:t>
      </w:r>
      <w:r w:rsidR="00E75CB3" w:rsidRPr="006926EB"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не оказывает влияния на способность к выполнению потенциально опасных видов деятельности, требующих повышенной концентрации внимания и быстроты психомоторных реакций (управление транспортными средствами, работа с движущимися механизмами, работа диспетчера, оператора).</w:t>
      </w:r>
    </w:p>
    <w:p w14:paraId="44D38141" w14:textId="77777777" w:rsidR="00957C41" w:rsidRDefault="00957C41" w:rsidP="007651C9">
      <w:pPr>
        <w:pStyle w:val="ac"/>
        <w:spacing w:before="75" w:beforeAutospacing="0" w:after="75" w:afterAutospacing="0"/>
        <w:rPr>
          <w:rFonts w:ascii="Arial" w:hAnsi="Arial" w:cs="Arial"/>
          <w:color w:val="333333"/>
          <w:sz w:val="20"/>
          <w:szCs w:val="20"/>
        </w:rPr>
      </w:pPr>
    </w:p>
    <w:p w14:paraId="1FD352D9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Передозировка</w:t>
      </w:r>
    </w:p>
    <w:p w14:paraId="091E078E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При передозировке возможно усиление выраженности дозозависимых нежелательных реакций.</w:t>
      </w:r>
    </w:p>
    <w:p w14:paraId="60149951" w14:textId="77777777" w:rsidR="00BB752E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ru-RU"/>
          <w14:ligatures w14:val="none"/>
        </w:rPr>
        <w:t>Лечение:</w:t>
      </w: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 симптоматическое.</w:t>
      </w:r>
    </w:p>
    <w:p w14:paraId="30EF7F9F" w14:textId="77777777" w:rsidR="00203707" w:rsidRPr="00C70CE3" w:rsidRDefault="00203707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114AA440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Лекарственное взаимодействие</w:t>
      </w:r>
    </w:p>
    <w:p w14:paraId="778BED55" w14:textId="77777777" w:rsidR="00BB752E" w:rsidRPr="00C70CE3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Комбинация с антибактериальными средствами возможна и целесообразна.</w:t>
      </w:r>
    </w:p>
    <w:p w14:paraId="4E1CDE06" w14:textId="77777777" w:rsidR="00BB752E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Исследования взаимодействия с другими лекарственными препаратами не проводились.</w:t>
      </w:r>
    </w:p>
    <w:p w14:paraId="62DF0490" w14:textId="77777777" w:rsidR="00203707" w:rsidRPr="00C70CE3" w:rsidRDefault="00203707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447E67AB" w14:textId="77777777" w:rsidR="00BB752E" w:rsidRDefault="00BB752E" w:rsidP="00BB752E">
      <w:pPr>
        <w:spacing w:before="30" w:after="45"/>
        <w:outlineLvl w:val="1"/>
        <w:rPr>
          <w:rFonts w:ascii="Arial" w:eastAsia="Times New Roman" w:hAnsi="Arial" w:cs="Arial"/>
          <w:color w:val="2E3F51"/>
          <w:kern w:val="0"/>
          <w:sz w:val="20"/>
          <w:szCs w:val="20"/>
          <w:vertAlign w:val="superscript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 xml:space="preserve">Условия хранения препарата </w:t>
      </w:r>
    </w:p>
    <w:p w14:paraId="3CAA10D3" w14:textId="54A908F7" w:rsidR="00CC69FB" w:rsidRDefault="004D1F64" w:rsidP="00CC69FB">
      <w:pPr>
        <w:spacing w:before="30" w:after="45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>
        <w:rPr>
          <w:rFonts w:ascii="Arial" w:hAnsi="Arial" w:cs="Arial"/>
          <w:color w:val="333333"/>
          <w:sz w:val="20"/>
          <w:szCs w:val="20"/>
        </w:rPr>
        <w:t>Препарат следует хранить в оригинальной упаковке (флаконе) для защиты от света, в недоступном для детей месте.</w:t>
      </w:r>
      <w:r w:rsidR="00CC69FB">
        <w:rPr>
          <w:rFonts w:ascii="Arial" w:hAnsi="Arial" w:cs="Arial"/>
          <w:color w:val="333333"/>
          <w:sz w:val="20"/>
          <w:szCs w:val="20"/>
        </w:rPr>
        <w:t xml:space="preserve"> </w:t>
      </w:r>
      <w:r w:rsidR="00CC69FB"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Препарат следует хранить при температуре не выше </w:t>
      </w:r>
      <w:r w:rsidR="00CC69FB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25</w:t>
      </w:r>
      <w:r w:rsidR="00CC69FB"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°C.</w:t>
      </w:r>
    </w:p>
    <w:p w14:paraId="55DFC4E0" w14:textId="77777777" w:rsidR="00203707" w:rsidRPr="00C70CE3" w:rsidRDefault="00203707" w:rsidP="00CC69FB">
      <w:pPr>
        <w:spacing w:before="30" w:after="45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1F2C7166" w14:textId="1ACE670F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 xml:space="preserve">Срок годности препарата </w:t>
      </w:r>
    </w:p>
    <w:p w14:paraId="54E581B6" w14:textId="7C41EDA6" w:rsidR="004D1F64" w:rsidRPr="004D1F64" w:rsidRDefault="004D1F64" w:rsidP="004D1F64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D1F6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Срок годности -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2</w:t>
      </w:r>
      <w:r w:rsidRPr="004D1F6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года. Не использовать по истечении срока годности, указанного на упаковке.</w:t>
      </w:r>
    </w:p>
    <w:p w14:paraId="03AE0E0B" w14:textId="77777777" w:rsidR="004D1F64" w:rsidRDefault="004D1F64" w:rsidP="004D1F64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4D1F64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Открытый флакон можно использовать в течение 6 месяцев.</w:t>
      </w:r>
    </w:p>
    <w:p w14:paraId="3A589CBE" w14:textId="77777777" w:rsidR="00203707" w:rsidRPr="004D1F64" w:rsidRDefault="00203707" w:rsidP="004D1F64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33841DE6" w14:textId="77777777" w:rsidR="00BB752E" w:rsidRPr="00C70CE3" w:rsidRDefault="00BB752E" w:rsidP="00BB752E">
      <w:pPr>
        <w:spacing w:before="30" w:after="45"/>
        <w:outlineLvl w:val="1"/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</w:pPr>
      <w:r w:rsidRPr="00C70CE3">
        <w:rPr>
          <w:rFonts w:ascii="Arial" w:eastAsia="Times New Roman" w:hAnsi="Arial" w:cs="Arial"/>
          <w:b/>
          <w:bCs/>
          <w:color w:val="2E3F51"/>
          <w:kern w:val="0"/>
          <w:sz w:val="23"/>
          <w:szCs w:val="23"/>
          <w:lang w:eastAsia="ru-RU"/>
          <w14:ligatures w14:val="none"/>
        </w:rPr>
        <w:t>Условия реализации</w:t>
      </w:r>
    </w:p>
    <w:p w14:paraId="6E7BD393" w14:textId="77777777" w:rsidR="00BB752E" w:rsidRDefault="00BB752E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70CE3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Препарат отпускают без рецепта</w:t>
      </w:r>
    </w:p>
    <w:p w14:paraId="3677DFDC" w14:textId="77777777" w:rsidR="00203707" w:rsidRDefault="00203707" w:rsidP="00BB752E">
      <w:pPr>
        <w:spacing w:before="75" w:after="75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</w:p>
    <w:p w14:paraId="1F709222" w14:textId="77777777" w:rsidR="00BB752E" w:rsidRPr="00C73B80" w:rsidRDefault="00BB752E" w:rsidP="00BB752E">
      <w:pPr>
        <w:spacing w:after="0"/>
        <w:rPr>
          <w:rFonts w:ascii="Arial" w:hAnsi="Arial" w:cs="Arial"/>
          <w:b/>
          <w:sz w:val="23"/>
          <w:szCs w:val="23"/>
        </w:rPr>
      </w:pPr>
      <w:r w:rsidRPr="00C73B80">
        <w:rPr>
          <w:rFonts w:ascii="Arial" w:hAnsi="Arial" w:cs="Arial"/>
          <w:b/>
          <w:sz w:val="23"/>
          <w:szCs w:val="23"/>
        </w:rPr>
        <w:t>Производитель:</w:t>
      </w:r>
    </w:p>
    <w:p w14:paraId="3CA2F333" w14:textId="77777777" w:rsidR="00BB752E" w:rsidRDefault="00BB752E" w:rsidP="00BB752E">
      <w:pPr>
        <w:spacing w:after="0"/>
        <w:rPr>
          <w:rFonts w:ascii="Arial" w:hAnsi="Arial" w:cs="Arial"/>
          <w:sz w:val="20"/>
          <w:szCs w:val="20"/>
        </w:rPr>
      </w:pPr>
      <w:r w:rsidRPr="00C73B80">
        <w:rPr>
          <w:rFonts w:ascii="Arial" w:hAnsi="Arial" w:cs="Arial"/>
          <w:sz w:val="20"/>
          <w:szCs w:val="20"/>
        </w:rPr>
        <w:t>ООО " SPRING PHARMACEUTIC " СП Великобритания.</w:t>
      </w:r>
    </w:p>
    <w:p w14:paraId="6B6B1BF6" w14:textId="77777777" w:rsidR="00203707" w:rsidRPr="00C73B80" w:rsidRDefault="00203707" w:rsidP="00BB752E">
      <w:pPr>
        <w:spacing w:after="0"/>
        <w:rPr>
          <w:rFonts w:ascii="Arial" w:hAnsi="Arial" w:cs="Arial"/>
          <w:sz w:val="20"/>
          <w:szCs w:val="20"/>
        </w:rPr>
      </w:pPr>
    </w:p>
    <w:p w14:paraId="328A1978" w14:textId="77777777" w:rsidR="00BB752E" w:rsidRPr="00C73B80" w:rsidRDefault="00BB752E" w:rsidP="00BB752E">
      <w:pPr>
        <w:spacing w:after="0"/>
        <w:rPr>
          <w:rFonts w:ascii="Arial" w:hAnsi="Arial" w:cs="Arial"/>
          <w:b/>
          <w:sz w:val="23"/>
          <w:szCs w:val="23"/>
        </w:rPr>
      </w:pPr>
      <w:r w:rsidRPr="00C73B80">
        <w:rPr>
          <w:rFonts w:ascii="Arial" w:hAnsi="Arial" w:cs="Arial"/>
          <w:b/>
          <w:sz w:val="23"/>
          <w:szCs w:val="23"/>
        </w:rPr>
        <w:t>Местонахождение производителя и адрес места осуществления деятельности:</w:t>
      </w:r>
    </w:p>
    <w:p w14:paraId="76FFD839" w14:textId="77777777" w:rsidR="00BB752E" w:rsidRPr="00C73B80" w:rsidRDefault="00BB752E" w:rsidP="00BB752E">
      <w:pPr>
        <w:spacing w:after="0"/>
        <w:rPr>
          <w:rFonts w:ascii="Arial" w:hAnsi="Arial" w:cs="Arial"/>
          <w:sz w:val="20"/>
          <w:szCs w:val="20"/>
        </w:rPr>
      </w:pPr>
      <w:r w:rsidRPr="00C73B80">
        <w:rPr>
          <w:rFonts w:ascii="Arial" w:hAnsi="Arial" w:cs="Arial"/>
          <w:sz w:val="20"/>
          <w:szCs w:val="20"/>
        </w:rPr>
        <w:t xml:space="preserve">Республика  Узбекистан , Наманганская область, </w:t>
      </w:r>
      <w:proofErr w:type="spellStart"/>
      <w:r w:rsidRPr="00C73B80">
        <w:rPr>
          <w:rFonts w:ascii="Arial" w:hAnsi="Arial" w:cs="Arial"/>
          <w:sz w:val="20"/>
          <w:szCs w:val="20"/>
        </w:rPr>
        <w:t>Касансайский</w:t>
      </w:r>
      <w:proofErr w:type="spellEnd"/>
      <w:r w:rsidRPr="00C73B80">
        <w:rPr>
          <w:rFonts w:ascii="Arial" w:hAnsi="Arial" w:cs="Arial"/>
          <w:sz w:val="20"/>
          <w:szCs w:val="20"/>
        </w:rPr>
        <w:t xml:space="preserve"> район, </w:t>
      </w:r>
      <w:proofErr w:type="spellStart"/>
      <w:r w:rsidRPr="00C73B80">
        <w:rPr>
          <w:rFonts w:ascii="Arial" w:hAnsi="Arial" w:cs="Arial"/>
          <w:sz w:val="20"/>
          <w:szCs w:val="20"/>
        </w:rPr>
        <w:t>Кукимбой</w:t>
      </w:r>
      <w:proofErr w:type="spellEnd"/>
      <w:r w:rsidRPr="00C73B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3B80">
        <w:rPr>
          <w:rFonts w:ascii="Arial" w:hAnsi="Arial" w:cs="Arial"/>
          <w:sz w:val="20"/>
          <w:szCs w:val="20"/>
        </w:rPr>
        <w:t>Навбахор</w:t>
      </w:r>
      <w:proofErr w:type="spellEnd"/>
      <w:r w:rsidRPr="00C73B80">
        <w:rPr>
          <w:rFonts w:ascii="Arial" w:hAnsi="Arial" w:cs="Arial"/>
          <w:sz w:val="20"/>
          <w:szCs w:val="20"/>
        </w:rPr>
        <w:t xml:space="preserve"> МСГ, улица Булак, дом 129.  </w:t>
      </w:r>
    </w:p>
    <w:p w14:paraId="5016F56C" w14:textId="77777777" w:rsidR="00BB752E" w:rsidRPr="00C73B80" w:rsidRDefault="00BB752E" w:rsidP="00BB752E">
      <w:pPr>
        <w:spacing w:after="0"/>
        <w:rPr>
          <w:rFonts w:ascii="Arial" w:hAnsi="Arial" w:cs="Arial"/>
          <w:sz w:val="20"/>
          <w:szCs w:val="20"/>
        </w:rPr>
      </w:pPr>
      <w:r w:rsidRPr="00C73B80">
        <w:rPr>
          <w:rFonts w:ascii="Arial" w:hAnsi="Arial" w:cs="Arial"/>
          <w:sz w:val="20"/>
          <w:szCs w:val="20"/>
        </w:rPr>
        <w:t>Тел. : +998996942363</w:t>
      </w:r>
    </w:p>
    <w:p w14:paraId="0F15FD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7060"/>
    <w:multiLevelType w:val="multilevel"/>
    <w:tmpl w:val="CCA4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A5817"/>
    <w:multiLevelType w:val="multilevel"/>
    <w:tmpl w:val="6F0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008552">
    <w:abstractNumId w:val="1"/>
  </w:num>
  <w:num w:numId="2" w16cid:durableId="98802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35"/>
    <w:rsid w:val="000010A0"/>
    <w:rsid w:val="00007A46"/>
    <w:rsid w:val="00181667"/>
    <w:rsid w:val="001E7F4B"/>
    <w:rsid w:val="00203707"/>
    <w:rsid w:val="002477CE"/>
    <w:rsid w:val="002C6A2D"/>
    <w:rsid w:val="002F318F"/>
    <w:rsid w:val="00363F6A"/>
    <w:rsid w:val="004263E3"/>
    <w:rsid w:val="00450D89"/>
    <w:rsid w:val="004D1F64"/>
    <w:rsid w:val="00594805"/>
    <w:rsid w:val="005E570C"/>
    <w:rsid w:val="00686B56"/>
    <w:rsid w:val="006926EB"/>
    <w:rsid w:val="006C0B77"/>
    <w:rsid w:val="006D6864"/>
    <w:rsid w:val="00725BA3"/>
    <w:rsid w:val="00742AB9"/>
    <w:rsid w:val="007651C9"/>
    <w:rsid w:val="007B50E5"/>
    <w:rsid w:val="007D4270"/>
    <w:rsid w:val="008036A6"/>
    <w:rsid w:val="008049E4"/>
    <w:rsid w:val="008242FF"/>
    <w:rsid w:val="00870751"/>
    <w:rsid w:val="008D57E0"/>
    <w:rsid w:val="00922C48"/>
    <w:rsid w:val="0095489E"/>
    <w:rsid w:val="00957C41"/>
    <w:rsid w:val="00991968"/>
    <w:rsid w:val="00991A13"/>
    <w:rsid w:val="00AB2F35"/>
    <w:rsid w:val="00B0313F"/>
    <w:rsid w:val="00B915B7"/>
    <w:rsid w:val="00BB752E"/>
    <w:rsid w:val="00CC69FB"/>
    <w:rsid w:val="00E75CB3"/>
    <w:rsid w:val="00EA59DF"/>
    <w:rsid w:val="00EE4070"/>
    <w:rsid w:val="00F12C76"/>
    <w:rsid w:val="00F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3096"/>
  <w15:chartTrackingRefBased/>
  <w15:docId w15:val="{A1E66DAE-6644-4728-9312-765728DE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2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F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F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F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F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2F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B2F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B2F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B2F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B2F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B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F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F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B2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F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F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F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B2F3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651C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l.ru/drugs/pharm-group/1758" TargetMode="External"/><Relationship Id="rId5" Type="http://schemas.openxmlformats.org/officeDocument/2006/relationships/hyperlink" Target="https://www.vidal.ru/drugs/clinic-group/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53</cp:revision>
  <dcterms:created xsi:type="dcterms:W3CDTF">2026-01-27T15:52:00Z</dcterms:created>
  <dcterms:modified xsi:type="dcterms:W3CDTF">2026-01-28T20:26:00Z</dcterms:modified>
</cp:coreProperties>
</file>